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color w:val="70AD47" w:themeColor="accent6"/>
        </w:rPr>
      </w:pPr>
      <w:r>
        <w:rPr>
          <w:color w:val="70AD47" w:themeColor="accent6"/>
        </w:rPr>
        <w:t>L’engagement écologique</w:t>
      </w:r>
    </w:p>
    <w:p>
      <w:pPr>
        <w:pStyle w:val="Normal"/>
        <w:jc w:val="center"/>
        <w:rPr>
          <w:color w:val="70AD47" w:themeColor="accent6"/>
        </w:rPr>
      </w:pPr>
      <w:r>
        <w:rPr>
          <w:color w:val="70AD47" w:themeColor="accent6"/>
        </w:rPr>
      </w:r>
    </w:p>
    <w:p>
      <w:pPr>
        <w:pStyle w:val="Normal"/>
        <w:jc w:val="center"/>
        <w:rPr>
          <w:color w:val="70AD47" w:themeColor="accent6"/>
        </w:rPr>
      </w:pPr>
      <w:r>
        <w:rPr>
          <w:b/>
          <w:bCs/>
          <w:color w:val="70AD47" w:themeColor="accent6"/>
        </w:rPr>
        <w:t>100 propositions pour l’Algérie de demain</w:t>
      </w:r>
    </w:p>
    <w:p>
      <w:pPr>
        <w:pStyle w:val="Normal"/>
        <w:rPr>
          <w:color w:val="70AD47" w:themeColor="accent6"/>
        </w:rPr>
      </w:pPr>
      <w:r>
        <w:rPr>
          <w:color w:val="70AD47" w:themeColor="accent6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Instaurer l’éducation environnementale comme matière à tous les niveaux y compris le baccalauréat</w:t>
      </w:r>
    </w:p>
    <w:p>
      <w:pPr>
        <w:pStyle w:val="Normal"/>
        <w:rPr>
          <w:i/>
          <w:i/>
          <w:color w:val="70AD47" w:themeColor="accent6"/>
          <w:u w:val="single"/>
        </w:rPr>
      </w:pPr>
      <w:r>
        <w:rPr>
          <w:i/>
          <w:color w:val="70AD47" w:themeColor="accent6"/>
          <w:u w:val="single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Instaurer l’éducation environnementale de façon adaptative </w:t>
      </w:r>
      <w:r>
        <w:rPr>
          <w:b/>
          <w:bCs/>
          <w:color w:val="000000" w:themeColor="text1"/>
        </w:rPr>
        <w:t xml:space="preserve">aux trois cursus </w:t>
      </w:r>
      <w:r>
        <w:rPr>
          <w:color w:val="000000" w:themeColor="text1"/>
        </w:rPr>
        <w:t>(Primaire, fondamental et secondaire) avec un volume horaire et des thématiques adaptées à chaque niveau.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Faire de l’éducation fondamentale une matière </w:t>
      </w:r>
      <w:r>
        <w:rPr>
          <w:b/>
          <w:bCs/>
          <w:color w:val="000000" w:themeColor="text1"/>
        </w:rPr>
        <w:t xml:space="preserve">à coefficient </w:t>
      </w:r>
      <w:r>
        <w:rPr>
          <w:color w:val="000000" w:themeColor="text1"/>
        </w:rPr>
        <w:t>d’au minimum deux (02).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Inscrire l’éducation environnementale comme </w:t>
      </w:r>
      <w:r>
        <w:rPr>
          <w:b/>
          <w:bCs/>
          <w:color w:val="000000" w:themeColor="text1"/>
        </w:rPr>
        <w:t xml:space="preserve">épreuve du baccalauréat       </w:t>
      </w:r>
      <w:r>
        <w:rPr>
          <w:color w:val="000000" w:themeColor="text1"/>
        </w:rPr>
        <w:t>à coefficient minimal de deux (02).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Proposer des </w:t>
      </w:r>
      <w:r>
        <w:rPr>
          <w:b/>
          <w:bCs/>
          <w:color w:val="000000" w:themeColor="text1"/>
        </w:rPr>
        <w:t xml:space="preserve">sorties pédagogiques hebdomadaires obligatoires à thématiques </w:t>
      </w:r>
      <w:r>
        <w:rPr>
          <w:color w:val="000000" w:themeColor="text1"/>
        </w:rPr>
        <w:t>pour les trois niveaux.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Relancer les clubs verts avec des nouveaux guides pédagogiques plus adaptés au contexte socio culturel algérien.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Asseoir une politique de recherche scientifique efficiente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Encourager les chercheurs et laboratoires de recherches, aux résultats et  au dynamisme avérés.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Accorder des budgets importants aux laboratoires de recherches et aux projets à </w:t>
      </w:r>
      <w:r>
        <w:rPr>
          <w:b/>
          <w:bCs/>
          <w:color w:val="000000" w:themeColor="text1"/>
        </w:rPr>
        <w:t>haute valeur technologique et industrielle verte</w:t>
      </w:r>
      <w:r>
        <w:rPr>
          <w:color w:val="000000" w:themeColor="text1"/>
        </w:rPr>
        <w:t>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Offrir aux chercheurs algériens à l’étranger, des garanties et une atmosphère de travail digne, afin de </w:t>
      </w:r>
      <w:r>
        <w:rPr>
          <w:b/>
          <w:bCs/>
          <w:color w:val="000000" w:themeColor="text1"/>
        </w:rPr>
        <w:t>faciliter leur retour, dans des centres de recherches de pointe.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>Protéger les brevets</w:t>
      </w:r>
      <w:r>
        <w:rPr>
          <w:color w:val="000000" w:themeColor="text1"/>
        </w:rPr>
        <w:t>, publications et recherches des futurs centres d’excellence.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Cs/>
          <w:color w:val="000000" w:themeColor="text1"/>
        </w:rPr>
        <w:t>Protéger les étudiants et chercheurs des revues prédatrices.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Cs/>
          <w:color w:val="000000" w:themeColor="text1"/>
        </w:rPr>
        <w:t>Intéresser y compris par des postes budgétaires et des primes les chercheurs et les étudiants porteurs de projets à haute valeurs technologiques et applications écologiques.</w:t>
      </w:r>
    </w:p>
    <w:p>
      <w:pPr>
        <w:pStyle w:val="ListParagrap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Réduire les emballages de plastiques à usage unique et promouvoir le recyclage </w:t>
      </w:r>
    </w:p>
    <w:p>
      <w:pPr>
        <w:pStyle w:val="Normal"/>
        <w:rPr>
          <w:i/>
          <w:i/>
          <w:color w:val="70AD47" w:themeColor="accent6"/>
          <w:u w:val="single"/>
        </w:rPr>
      </w:pPr>
      <w:r>
        <w:rPr>
          <w:i/>
          <w:color w:val="70AD47" w:themeColor="accent6"/>
          <w:u w:val="single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Encourager l’utilisation de granulés recyclés en instaurant une </w:t>
      </w:r>
      <w:r>
        <w:rPr>
          <w:b/>
          <w:bCs/>
          <w:color w:val="000000" w:themeColor="text1"/>
        </w:rPr>
        <w:t>taxe sur le plastique brut importé</w:t>
      </w:r>
      <w:r>
        <w:rPr>
          <w:color w:val="000000" w:themeColor="text1"/>
        </w:rPr>
        <w:t xml:space="preserve">. E 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Incitations et facilitation de l’installation des </w:t>
      </w:r>
      <w:r>
        <w:rPr>
          <w:b/>
          <w:bCs/>
          <w:color w:val="000000" w:themeColor="text1"/>
        </w:rPr>
        <w:t>raffineries de bio plastique</w:t>
      </w:r>
      <w:r>
        <w:rPr>
          <w:color w:val="000000" w:themeColor="text1"/>
        </w:rPr>
        <w:t>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Réservation dans les grandes et moyennes agglomérations d’assiettes foncières pour les </w:t>
      </w:r>
      <w:r>
        <w:rPr>
          <w:b/>
          <w:bCs/>
          <w:color w:val="000000" w:themeColor="text1"/>
        </w:rPr>
        <w:t xml:space="preserve">centre de tri de déchets et d’unités de recyclage </w:t>
      </w:r>
      <w:r>
        <w:rPr>
          <w:color w:val="000000" w:themeColor="text1"/>
        </w:rPr>
        <w:t>et la promotion de leur implantation dans le cadre de l’investissement et du Calpiref.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Taxer les produits à </w:t>
      </w:r>
      <w:r>
        <w:rPr>
          <w:b/>
          <w:bCs/>
          <w:color w:val="000000" w:themeColor="text1"/>
        </w:rPr>
        <w:t>double emballage plastique</w:t>
      </w:r>
      <w:r>
        <w:rPr>
          <w:color w:val="000000" w:themeColor="text1"/>
        </w:rPr>
        <w:t>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Appliquer les textes en cours en matière d’emballage et accélérer la publication et application du projet ECOGEM.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Instaurer des </w:t>
      </w:r>
      <w:r>
        <w:rPr>
          <w:b/>
          <w:bCs/>
          <w:color w:val="000000" w:themeColor="text1"/>
        </w:rPr>
        <w:t>contrôles sur le taux les Matières chimiques dangereuses</w:t>
      </w:r>
      <w:r>
        <w:rPr>
          <w:color w:val="000000" w:themeColor="text1"/>
        </w:rPr>
        <w:t>, dans les plastiques recyclé.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Mettre en place un système de tri sélectif efficace et efficient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Valoriser les déchets plastiques en instaurant un </w:t>
      </w:r>
      <w:r>
        <w:rPr>
          <w:b/>
          <w:bCs/>
          <w:color w:val="000000" w:themeColor="text1"/>
        </w:rPr>
        <w:t xml:space="preserve">prix national minimal du kilo </w:t>
      </w:r>
      <w:r>
        <w:rPr>
          <w:color w:val="000000" w:themeColor="text1"/>
        </w:rPr>
        <w:t>de plastique solide récupérés, avec une valeur majorée pour les macro déchets sous marins.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Intégrer dans la liste des projets ANSEJ, CNAC et ANGEM, les projets de récupération et de valorisation des déchets terrestres et sous marins.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Enseigner le </w:t>
      </w:r>
      <w:r>
        <w:rPr>
          <w:b/>
          <w:bCs/>
          <w:color w:val="000000" w:themeColor="text1"/>
        </w:rPr>
        <w:t xml:space="preserve">tri sélectif </w:t>
      </w:r>
      <w:r>
        <w:rPr>
          <w:color w:val="000000" w:themeColor="text1"/>
        </w:rPr>
        <w:t>dans le cadre de la nouvelle matière obligatoire d’éducation environnementale, dès le préscolaire.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Organiser des formations de formateurs dans les populations structurées et des campagnes d’informations et de communication </w:t>
      </w:r>
      <w:r>
        <w:rPr>
          <w:b/>
          <w:bCs/>
          <w:color w:val="000000" w:themeColor="text1"/>
        </w:rPr>
        <w:t>pour le changement comportemental.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>Valoriser les salaires des agents d’enlèvement</w:t>
      </w:r>
      <w:r>
        <w:rPr>
          <w:color w:val="000000" w:themeColor="text1"/>
        </w:rPr>
        <w:t>, encourager leur organisation en syndicat autonome et instaurer un système de primes de motivation.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Cs/>
          <w:color w:val="000000" w:themeColor="text1"/>
        </w:rPr>
        <w:t>Élargissement progressif des expériences de tri sélectif.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Installer d’ici 2020 des </w:t>
      </w:r>
      <w:r>
        <w:rPr>
          <w:b/>
          <w:bCs/>
          <w:color w:val="000000" w:themeColor="text1"/>
        </w:rPr>
        <w:t>bornes automatiques de réception et de paiement de bouteilles en plastiques payantes et de troc</w:t>
      </w:r>
      <w:r>
        <w:rPr>
          <w:color w:val="000000" w:themeColor="text1"/>
        </w:rPr>
        <w:t>: Plastique contre titres de transports (Bus, tramway, Métro) et/ou de FLEXY.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Passage progressif du sac plastique conventionnel au sac plastique biologique et biodégradable d’ici 2024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 xml:space="preserve">Accompagner les industriels </w:t>
      </w:r>
      <w:r>
        <w:rPr>
          <w:color w:val="000000" w:themeColor="text1"/>
          <w:lang w:eastAsia="en-US"/>
        </w:rPr>
        <w:t>du sac plastique pour un passage progressif vers les bioplastiques.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Encourager </w:t>
      </w:r>
      <w:r>
        <w:rPr>
          <w:b/>
          <w:bCs/>
          <w:color w:val="000000" w:themeColor="text1"/>
          <w:lang w:eastAsia="en-US"/>
        </w:rPr>
        <w:t xml:space="preserve">l’installation des raffineries de bioplastiques </w:t>
      </w:r>
      <w:r>
        <w:rPr>
          <w:color w:val="000000" w:themeColor="text1"/>
          <w:lang w:eastAsia="en-US"/>
        </w:rPr>
        <w:t>et importer les nouveaux procédés technologiques dans ce domaine.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lang w:eastAsia="en-US"/>
        </w:rPr>
      </w:pPr>
      <w:r>
        <w:rPr>
          <w:b/>
          <w:bCs/>
          <w:color w:val="000000" w:themeColor="text1"/>
          <w:lang w:eastAsia="en-US"/>
        </w:rPr>
        <w:t xml:space="preserve">Instaurer immédiatement le sac plastique payant </w:t>
      </w:r>
      <w:r>
        <w:rPr>
          <w:color w:val="000000" w:themeColor="text1"/>
          <w:lang w:eastAsia="en-US"/>
        </w:rPr>
        <w:t>dans les magasins et commerces en instaurant aux producteurs une taxe similaire.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Relancer la fabrication artisanale et industrielle des </w:t>
      </w:r>
      <w:r>
        <w:rPr>
          <w:b/>
          <w:bCs/>
          <w:color w:val="000000" w:themeColor="text1"/>
          <w:lang w:eastAsia="en-US"/>
        </w:rPr>
        <w:t>couffins et sacs en tissus et en papier.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lang w:eastAsia="en-US"/>
        </w:rPr>
      </w:pPr>
      <w:r>
        <w:rPr>
          <w:bCs/>
          <w:color w:val="000000" w:themeColor="text1"/>
          <w:lang w:eastAsia="en-US"/>
        </w:rPr>
        <w:t>Intéresser les porteurs d’innovation scientifiques sur l’international afin d’importer les procédés technologiques et les inventions récentes.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lang w:eastAsia="en-US"/>
        </w:rPr>
      </w:pPr>
      <w:r>
        <w:rPr>
          <w:bCs/>
          <w:color w:val="000000" w:themeColor="text1"/>
          <w:lang w:eastAsia="en-US"/>
        </w:rPr>
        <w:t>Offrir des facilités pour l’installation d’industries innovantes dans la récupération et le traitement du plastique conventionnel.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Retour d’ici 2022 à la bouteille avec consigne pour les eaux minérales, huiles alimentaires et sodas 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Obligation immédiate du </w:t>
      </w:r>
      <w:r>
        <w:rPr>
          <w:b/>
          <w:bCs/>
          <w:color w:val="000000" w:themeColor="text1"/>
        </w:rPr>
        <w:t>retour au système de consigne pour les collectivités locales, cantines, commerces de restauration</w:t>
      </w:r>
      <w:r>
        <w:rPr>
          <w:color w:val="000000" w:themeColor="text1"/>
        </w:rPr>
        <w:t xml:space="preserve"> et corps constitués.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Accompagnement, prêts sans intérêts et exonérations fiscales pour les industriels </w:t>
      </w:r>
      <w:r>
        <w:rPr>
          <w:b/>
          <w:bCs/>
          <w:color w:val="000000" w:themeColor="text1"/>
        </w:rPr>
        <w:t xml:space="preserve">lors du le changement de machineries </w:t>
      </w:r>
      <w:r>
        <w:rPr>
          <w:color w:val="000000" w:themeColor="text1"/>
        </w:rPr>
        <w:t>et abrogation de la TVA pour les équipements en rapport avec le système de consigne.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Taxation des bouteilles en plastique </w:t>
      </w:r>
      <w:r>
        <w:rPr>
          <w:color w:val="000000" w:themeColor="text1"/>
        </w:rPr>
        <w:t xml:space="preserve">conventionnel avec </w:t>
      </w:r>
      <w:r>
        <w:rPr>
          <w:b/>
          <w:bCs/>
          <w:color w:val="000000" w:themeColor="text1"/>
        </w:rPr>
        <w:t>exonération pour les bouteilles en plastique recyclé.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Relance de l’industrie du verre </w:t>
      </w:r>
      <w:r>
        <w:rPr>
          <w:color w:val="000000" w:themeColor="text1"/>
        </w:rPr>
        <w:t>et dérivés.</w:t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Préservation des nappes phréatiques et des eaux souterraines </w:t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Identifier les points de pollution </w:t>
      </w:r>
      <w:r>
        <w:rPr>
          <w:color w:val="000000" w:themeColor="text1"/>
        </w:rPr>
        <w:t xml:space="preserve">de la nappe par les pesticides et les unités industrielles avec déversement chimique.  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Raisonner l’utilisation de la nappe albienne </w:t>
      </w:r>
      <w:r>
        <w:rPr>
          <w:color w:val="000000" w:themeColor="text1"/>
        </w:rPr>
        <w:t>par l’agriculture intensive dans le sud du pays.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Encourager l’utilisation des eaux retraités et dessalées </w:t>
      </w:r>
      <w:r>
        <w:rPr>
          <w:color w:val="000000" w:themeColor="text1"/>
        </w:rPr>
        <w:t>pour les futurs projets touristiques, sportifs et certaines spéculations agricoles.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Prévenir le gaspillage d’eau </w:t>
      </w:r>
      <w:r>
        <w:rPr>
          <w:color w:val="000000" w:themeColor="text1"/>
        </w:rPr>
        <w:t>avec des équipement collectifs adaptés et encourager les fabricants locaux à leur développement.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 </w:t>
      </w:r>
      <w:r>
        <w:rPr>
          <w:b/>
          <w:i/>
          <w:color w:val="70AD47" w:themeColor="accent6"/>
          <w:u w:val="single"/>
        </w:rPr>
        <w:t>Multiplier les stations de désalinisation et de traitement d’eaux usées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Développer </w:t>
      </w:r>
      <w:r>
        <w:rPr>
          <w:b/>
          <w:bCs/>
          <w:color w:val="000000" w:themeColor="text1"/>
        </w:rPr>
        <w:t>les stations de valorisation et de traitement des boues fécales.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Multiplier les stations de </w:t>
      </w:r>
      <w:r>
        <w:rPr>
          <w:b/>
          <w:bCs/>
          <w:color w:val="000000" w:themeColor="text1"/>
        </w:rPr>
        <w:t>désalinisation à hauteur des enjeux démographiques côtiers avenirs.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Encourager </w:t>
      </w:r>
      <w:r>
        <w:rPr>
          <w:b/>
          <w:bCs/>
          <w:color w:val="000000" w:themeColor="text1"/>
        </w:rPr>
        <w:t xml:space="preserve">les méthodes écologiques de traitement d’eaux usées </w:t>
      </w:r>
      <w:r>
        <w:rPr>
          <w:color w:val="000000" w:themeColor="text1"/>
        </w:rPr>
        <w:t>autours des oueds et retenues d’eaux.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Lancer une industrie de produits et d’équipements fabriqués localement (Filtres, membranes, stations domestiques).</w:t>
      </w:r>
    </w:p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Afficher un objectif de 30% de produits issus de l’agriculture biologique d’ici 2029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Relancer et installer </w:t>
      </w:r>
      <w:r>
        <w:rPr>
          <w:b/>
          <w:bCs/>
          <w:color w:val="000000" w:themeColor="text1"/>
        </w:rPr>
        <w:t xml:space="preserve">la commission nationale du bio au MADRP </w:t>
      </w:r>
      <w:r>
        <w:rPr>
          <w:color w:val="000000" w:themeColor="text1"/>
        </w:rPr>
        <w:t>et son cortège d’organismes de contrôle d’analyse et de labélisation.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Réserver les aides gouvernementales à l’agriculture bio, </w:t>
      </w:r>
      <w:r>
        <w:rPr>
          <w:color w:val="000000" w:themeColor="text1"/>
        </w:rPr>
        <w:t>à hauteur de 70% pour les semences et 50% pour les intrants et équipements d’irrigation.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Produire localement les semences, intrants et plants </w:t>
      </w:r>
      <w:r>
        <w:rPr>
          <w:color w:val="000000" w:themeColor="text1"/>
        </w:rPr>
        <w:t>destinés à l’agriculture biologique.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Encourager </w:t>
      </w:r>
      <w:r>
        <w:rPr>
          <w:b/>
          <w:bCs/>
          <w:color w:val="000000" w:themeColor="text1"/>
        </w:rPr>
        <w:t>l’économie verte circulaire, le commerce équitable et les ventes directes.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Planter </w:t>
      </w:r>
      <w:r>
        <w:rPr>
          <w:b/>
          <w:bCs/>
          <w:color w:val="000000" w:themeColor="text1"/>
        </w:rPr>
        <w:t xml:space="preserve">50 millions d’oliviers en itinéraire biologique sur cinq années </w:t>
      </w:r>
      <w:r>
        <w:rPr>
          <w:color w:val="000000" w:themeColor="text1"/>
        </w:rPr>
        <w:t>soit 10 millions par an et booster l’exportation des huiles de table biologiques.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Instaurer un plan national de la protection de l’abeille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Encourager l’apiculture auprès des agriculteurs </w:t>
      </w:r>
      <w:r>
        <w:rPr>
          <w:color w:val="000000" w:themeColor="text1"/>
        </w:rPr>
        <w:t xml:space="preserve">avec soutiens et primes d’installation. 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Interdire l’utilisation d’intrants chimiques en zones apicoles prioritaire </w:t>
      </w:r>
      <w:r>
        <w:rPr>
          <w:color w:val="000000" w:themeColor="text1"/>
        </w:rPr>
        <w:t>dans un certain périmètre.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Encourager la </w:t>
      </w:r>
      <w:r>
        <w:rPr>
          <w:b/>
          <w:bCs/>
          <w:color w:val="000000" w:themeColor="text1"/>
        </w:rPr>
        <w:t>production de miel destiné à l’exportation</w:t>
      </w:r>
      <w:r>
        <w:rPr>
          <w:color w:val="000000" w:themeColor="text1"/>
        </w:rPr>
        <w:t>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Organiser les filières de distribution de miel et d’E-commerce 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Installer </w:t>
      </w:r>
      <w:r>
        <w:rPr>
          <w:b/>
          <w:bCs/>
          <w:color w:val="000000" w:themeColor="text1"/>
        </w:rPr>
        <w:t xml:space="preserve">l’observatoire national de l’abeille et de l’apiculture </w:t>
      </w:r>
      <w:r>
        <w:rPr>
          <w:color w:val="000000" w:themeColor="text1"/>
        </w:rPr>
        <w:t>en collaboration avec les universités, laboratoires de recherches le Madrp.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Accentuer les contrôle qualité sur le miel importé et exiger un système de traçabilité et au importateur et aux producteurs locaux.</w:t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Protection de la biodiversité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Mettre en place un </w:t>
      </w:r>
      <w:r>
        <w:rPr>
          <w:b/>
          <w:bCs/>
          <w:color w:val="000000" w:themeColor="text1"/>
        </w:rPr>
        <w:t xml:space="preserve">plan d’urgence pour la protection des espèces menacées </w:t>
      </w:r>
      <w:r>
        <w:rPr>
          <w:color w:val="000000" w:themeColor="text1"/>
        </w:rPr>
        <w:t>actuellement (Requins, outarde, Corail, Guépard, gazelles, chauves souris, mérou,  ….etc).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Revoir le système de gestion et de cogestion des AMP.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Établir une liste et une classification nationale exhaustive des espèces en danger et menacées.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Installer quatorze (</w:t>
      </w:r>
      <w:r>
        <w:rPr>
          <w:b/>
          <w:bCs/>
          <w:color w:val="000000" w:themeColor="text1"/>
        </w:rPr>
        <w:t>14) nouvelles aires marines protégées</w:t>
      </w:r>
      <w:r>
        <w:rPr>
          <w:color w:val="000000" w:themeColor="text1"/>
        </w:rPr>
        <w:t xml:space="preserve"> soit une par wilaya côtière, </w:t>
      </w:r>
      <w:r>
        <w:rPr>
          <w:b/>
          <w:bCs/>
          <w:color w:val="000000" w:themeColor="text1"/>
        </w:rPr>
        <w:t xml:space="preserve">dix (10) nouveaux parcs nationaux dans les hauts plateaux </w:t>
      </w:r>
      <w:r>
        <w:rPr>
          <w:color w:val="000000" w:themeColor="text1"/>
        </w:rPr>
        <w:t xml:space="preserve">et huit </w:t>
      </w:r>
      <w:r>
        <w:rPr>
          <w:b/>
          <w:bCs/>
          <w:color w:val="000000" w:themeColor="text1"/>
        </w:rPr>
        <w:t xml:space="preserve">(08) nouveaux  parcs nationaux dans les régions désertiques </w:t>
      </w:r>
      <w:r>
        <w:rPr>
          <w:color w:val="000000" w:themeColor="text1"/>
        </w:rPr>
        <w:t>(Grand Erg Oriental, les Oasis et le Grand Erg Occidental), tout en renforçant la protection des Tassili du Naddjer et du Hoggar..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Établir un fichier des espèces autochtones et endémiques pour un plan d’étude et de protection spécifique.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color w:val="000000" w:themeColor="text1"/>
        </w:rPr>
      </w:pPr>
      <w:r>
        <w:rPr>
          <w:b/>
          <w:i/>
          <w:color w:val="70AD47" w:themeColor="accent6"/>
          <w:u w:val="single"/>
        </w:rPr>
        <w:t>Réorganisation de la chasse sportive dite récréative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i/>
          <w:i/>
          <w:color w:val="000000" w:themeColor="text1"/>
          <w:u w:val="single"/>
        </w:rPr>
      </w:pPr>
      <w:r>
        <w:rPr>
          <w:b/>
          <w:bCs/>
          <w:color w:val="000000" w:themeColor="text1"/>
        </w:rPr>
        <w:t xml:space="preserve">Organiser les activités de chasse et de pêche </w:t>
      </w:r>
      <w:r>
        <w:rPr>
          <w:color w:val="000000" w:themeColor="text1"/>
        </w:rPr>
        <w:t>en adéquation avec les repos biologiques et alourdir les sanctions contre le braconnage.</w:t>
      </w:r>
    </w:p>
    <w:p>
      <w:pPr>
        <w:pStyle w:val="ListParagraph"/>
        <w:numPr>
          <w:ilvl w:val="0"/>
          <w:numId w:val="1"/>
        </w:numPr>
        <w:rPr>
          <w:i/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 </w:t>
      </w:r>
      <w:r>
        <w:rPr>
          <w:color w:val="000000" w:themeColor="text1"/>
        </w:rPr>
        <w:t>Menacer de retrait définitif du permis de port d’arme et de chasse pour les cas de braconnage et du non respect des saisons et périodes de chasse.</w:t>
      </w:r>
    </w:p>
    <w:p>
      <w:pPr>
        <w:pStyle w:val="ListParagraph"/>
        <w:numPr>
          <w:ilvl w:val="0"/>
          <w:numId w:val="1"/>
        </w:numPr>
        <w:rPr>
          <w:i/>
          <w:i/>
          <w:color w:val="000000" w:themeColor="text1"/>
          <w:u w:val="single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Promouvoir la chasse sportive sur cibles pour la chasse sous marine et les stands de tirs pour le pédestre.</w:t>
      </w:r>
    </w:p>
    <w:p>
      <w:pPr>
        <w:pStyle w:val="ListParagraph"/>
        <w:numPr>
          <w:ilvl w:val="0"/>
          <w:numId w:val="1"/>
        </w:numPr>
        <w:rPr>
          <w:i/>
          <w:i/>
          <w:color w:val="000000" w:themeColor="text1"/>
          <w:u w:val="single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Interdire les safaris de chasse à but touristique.</w:t>
      </w:r>
    </w:p>
    <w:p>
      <w:pPr>
        <w:pStyle w:val="ListParagraph"/>
        <w:rPr>
          <w:b/>
          <w:b/>
          <w:i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Promouvoir l’écotourisme et le tourisme durable </w:t>
      </w:r>
    </w:p>
    <w:p>
      <w:pPr>
        <w:pStyle w:val="Normal"/>
        <w:rPr>
          <w:i/>
          <w:i/>
          <w:color w:val="70AD47" w:themeColor="accent6"/>
          <w:u w:val="single"/>
        </w:rPr>
      </w:pPr>
      <w:r>
        <w:rPr>
          <w:i/>
          <w:color w:val="70AD47" w:themeColor="accent6"/>
          <w:u w:val="single"/>
        </w:rPr>
      </w:r>
    </w:p>
    <w:p>
      <w:pPr>
        <w:pStyle w:val="Normal"/>
        <w:rPr>
          <w:i/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Mettre l’Écotourisme au centre du développement touristique </w:t>
      </w:r>
      <w:r>
        <w:rPr>
          <w:color w:val="000000" w:themeColor="text1"/>
        </w:rPr>
        <w:t>du pays tant son installation, couts, impacts sur l’environnement permettent un développement immédiat et rapide.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Encourager l’installation de gites et de camping et de l’hébergement chez les particuliers,  </w:t>
      </w:r>
      <w:r>
        <w:rPr>
          <w:color w:val="000000" w:themeColor="text1"/>
        </w:rPr>
        <w:t>dans la démarche durable et le tourisme équitable.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Baisser </w:t>
      </w:r>
      <w:r>
        <w:rPr>
          <w:b/>
          <w:bCs/>
          <w:color w:val="000000" w:themeColor="text1"/>
        </w:rPr>
        <w:t xml:space="preserve">la TVA service de 09% à 04% </w:t>
      </w:r>
      <w:r>
        <w:rPr>
          <w:color w:val="000000" w:themeColor="text1"/>
        </w:rPr>
        <w:t>pour les projets d’écotourisme et les particuliers offrant des locations à thèmes.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Instaurer un </w:t>
      </w:r>
      <w:r>
        <w:rPr>
          <w:b/>
          <w:bCs/>
          <w:color w:val="000000" w:themeColor="text1"/>
        </w:rPr>
        <w:t xml:space="preserve">label et un cahier des charges pour l’Écotourisme </w:t>
      </w:r>
      <w:r>
        <w:rPr>
          <w:color w:val="000000" w:themeColor="text1"/>
        </w:rPr>
        <w:t>et les établissements de tourisme durable.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Promouvoir énergiquement la destination Algérie sur l’international par le Ministère du tourisme et le Ministère des affaires étrangères.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Promouvoir une pêche durable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Renforcer le système de soutiens aux pécheurs pendant le repos biologique et proposer des activités de substitution telles que  la cotisation, la co-gestion des AMP et l’écotourisme.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Alourdir les peines et amandes pour les pécheurs </w:t>
      </w:r>
      <w:r>
        <w:rPr>
          <w:color w:val="000000" w:themeColor="text1"/>
        </w:rPr>
        <w:t>en zones interdites.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Encourager l’aquaculture et développer des nutriments plus sains, et plus </w:t>
      </w:r>
      <w:r>
        <w:rPr>
          <w:b/>
          <w:bCs/>
          <w:color w:val="000000" w:themeColor="text1"/>
        </w:rPr>
        <w:t>respectueux de l’environnement</w:t>
      </w:r>
      <w:r>
        <w:rPr>
          <w:color w:val="000000" w:themeColor="text1"/>
        </w:rPr>
        <w:t>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Viser l’autosuffisance en</w:t>
      </w:r>
      <w:r>
        <w:rPr>
          <w:b/>
          <w:bCs/>
          <w:color w:val="000000" w:themeColor="text1"/>
        </w:rPr>
        <w:t xml:space="preserve"> matière de farine animale bio</w:t>
      </w:r>
      <w:r>
        <w:rPr>
          <w:color w:val="000000" w:themeColor="text1"/>
        </w:rPr>
        <w:t xml:space="preserve"> et nutriments d’ici 2029.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Interdire certaines techniques et équipements de pêche </w:t>
      </w:r>
      <w:r>
        <w:rPr>
          <w:color w:val="000000" w:themeColor="text1"/>
        </w:rPr>
        <w:t>(Filets dérivent, filets à petites mailles, certains hameçons).</w:t>
      </w:r>
    </w:p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Lancer le plan national des récifs artificiels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Multiplier les récifs de production </w:t>
      </w:r>
      <w:r>
        <w:rPr>
          <w:color w:val="000000" w:themeColor="text1"/>
        </w:rPr>
        <w:t>afin de restaurer les réserves et ressources halieutiques.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Encourager l’installation de récifs artificiels par les</w:t>
      </w:r>
      <w:r>
        <w:rPr>
          <w:b/>
          <w:bCs/>
          <w:color w:val="000000" w:themeColor="text1"/>
        </w:rPr>
        <w:t xml:space="preserve"> professionnels de la pêche et par la société civile.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Multiplier les récifs de protection </w:t>
      </w:r>
      <w:r>
        <w:rPr>
          <w:color w:val="000000" w:themeColor="text1"/>
        </w:rPr>
        <w:t>afin de prévenir du chalutage en zone interdite.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Récupérer des bâtiments navals et des aéronefs reformés afin de </w:t>
      </w:r>
      <w:r>
        <w:rPr>
          <w:b/>
          <w:bCs/>
          <w:color w:val="000000" w:themeColor="text1"/>
        </w:rPr>
        <w:t>créer des récifs ornementaux afin d’encourager le tourisme sportif et la plongée écotouristique.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Immerger d’importants récifs </w:t>
      </w:r>
      <w:r>
        <w:rPr>
          <w:b/>
          <w:bCs/>
          <w:color w:val="000000" w:themeColor="text1"/>
        </w:rPr>
        <w:t>autours des grandes agglomérations afin de restaurer la biodiversité</w:t>
      </w:r>
      <w:r>
        <w:rPr>
          <w:color w:val="000000" w:themeColor="text1"/>
        </w:rPr>
        <w:t xml:space="preserve"> et compenser la pression anthropique.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Exiger aux compagnies pétrolières, lors de l’installation en Off-shore, le financement de l’installation et de la gestion de champs récifaux, au prorata de la superficie occupée. </w:t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Démocratiser les énergies renouvelables et promouvoir les énergies propres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Interdire de façon permanente et définitive tout essai, développement ou installation du </w:t>
      </w:r>
      <w:r>
        <w:rPr>
          <w:b/>
          <w:bCs/>
          <w:color w:val="000000" w:themeColor="text1"/>
        </w:rPr>
        <w:t>gaz de schiste avant le développement d’une nouvelle génération technologique</w:t>
      </w:r>
      <w:r>
        <w:rPr>
          <w:color w:val="000000" w:themeColor="text1"/>
        </w:rPr>
        <w:t>, respectueuse de l’environnement.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Développer la recherche et process de fabrication </w:t>
      </w:r>
      <w:r>
        <w:rPr>
          <w:color w:val="000000" w:themeColor="text1"/>
        </w:rPr>
        <w:t xml:space="preserve">de panneaux voltaïques et d’accumulateurs et développer les capacités de stockage. 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Démocratiser l’utilisation des chauffe eau solaires </w:t>
      </w:r>
      <w:r>
        <w:rPr>
          <w:color w:val="000000" w:themeColor="text1"/>
        </w:rPr>
        <w:t>et soutenir leur acquisition (Prime, vente par facilité et sans intérêts).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Généraliser l’utilisation et l’installation de </w:t>
      </w:r>
      <w:r>
        <w:rPr>
          <w:b/>
          <w:bCs/>
          <w:color w:val="000000" w:themeColor="text1"/>
        </w:rPr>
        <w:t>champs d’éoliennes</w:t>
      </w:r>
      <w:r>
        <w:rPr>
          <w:color w:val="000000" w:themeColor="text1"/>
        </w:rPr>
        <w:t>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Corréler entre les </w:t>
      </w:r>
      <w:r>
        <w:rPr>
          <w:b/>
          <w:bCs/>
          <w:color w:val="000000" w:themeColor="text1"/>
        </w:rPr>
        <w:t>énergies solaires, éoliennes et l’agriculture saharienne.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Développer la </w:t>
      </w:r>
      <w:r>
        <w:rPr>
          <w:b/>
          <w:bCs/>
          <w:color w:val="000000" w:themeColor="text1"/>
        </w:rPr>
        <w:t>géothermie et les bio-carburants.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Encourager et promouvoir le véhicule électrique et/ ou hybride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Cs/>
          <w:color w:val="000000" w:themeColor="text1"/>
        </w:rPr>
        <w:t>Demander dans le prochain cahier des charges, destiné aux industriels automobile, le montage d’un véhicule de nouvelle génération « hybride » ou électrique, dans leur gamme d’ici 2024</w:t>
      </w:r>
      <w:r>
        <w:rPr>
          <w:b/>
          <w:bCs/>
          <w:color w:val="000000" w:themeColor="text1"/>
        </w:rPr>
        <w:t>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Cs/>
          <w:color w:val="000000" w:themeColor="text1"/>
        </w:rPr>
        <w:t>Encourager les entreprises publiques de montage et de construction de véhicules de transports de passager au développement de véhicules électriques.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Cs/>
          <w:color w:val="000000" w:themeColor="text1"/>
        </w:rPr>
        <w:t xml:space="preserve">Installer des bornes de rechargements électriques dans les grandes agglomérations se voulant « intelligentes ». </w:t>
      </w:r>
    </w:p>
    <w:p>
      <w:pPr>
        <w:pStyle w:val="ListParagrap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b/>
          <w:i/>
          <w:color w:val="70AD47" w:themeColor="accent6"/>
          <w:u w:val="single"/>
        </w:rPr>
        <w:t>Encourager un habitat respectueux de l’environnement 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Offrir une prime aux entrepreneurs et particuliers qui choisissent les nouvelles </w:t>
      </w:r>
      <w:r>
        <w:rPr>
          <w:b/>
          <w:bCs/>
          <w:color w:val="000000" w:themeColor="text1"/>
        </w:rPr>
        <w:t>méthodes d’isolation thermiques et sonores.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Relancer la </w:t>
      </w:r>
      <w:r>
        <w:rPr>
          <w:b/>
          <w:bCs/>
          <w:color w:val="000000" w:themeColor="text1"/>
        </w:rPr>
        <w:t>filière de transformation de liège, du bois et de la céramique</w:t>
      </w:r>
      <w:r>
        <w:rPr>
          <w:color w:val="000000" w:themeColor="text1"/>
        </w:rPr>
        <w:t>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Systématiser l’habitat vert </w:t>
      </w:r>
      <w:r>
        <w:rPr>
          <w:color w:val="000000" w:themeColor="text1"/>
        </w:rPr>
        <w:t>pour le rural et les projets écotouristiques.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Généraliser l’utilisation des matériaux respectueux de l’environnement </w:t>
      </w:r>
      <w:r>
        <w:rPr>
          <w:color w:val="000000" w:themeColor="text1"/>
        </w:rPr>
        <w:t>aux futurs projets de structures gouvernementales.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Encourager l’artisanat local et les produits du patrimoine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Faciliter l’obtention et alléger les dossiers et contraintes pédagogiques d’obtention des cartes d’artisan.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Abaisser les frais annuels relatifs à la carte d’artisan.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Soutenir la matière première pour les produits de l’artisanat et assurer un prix de vente minimum grâce à une TVA à 05%.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Améliorer les circuits de vente directe et d’E-commerce entre les artisans et les consommateurs.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Multiplier les événements de vente, expositions et salons thématiques avec une gratuité des espèces pour les artisans.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i/>
          <w:i/>
          <w:color w:val="70AD47" w:themeColor="accent6"/>
          <w:u w:val="single"/>
        </w:rPr>
      </w:pPr>
      <w:r>
        <w:rPr>
          <w:b/>
          <w:i/>
          <w:color w:val="70AD47" w:themeColor="accent6"/>
          <w:u w:val="single"/>
        </w:rPr>
        <w:t>Création d’une police environnementale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Les missions et prérogatives de cette police, iront de la verbalisation à l'arrestation et la mise en détention avec le concours du corps constitué de tutelle, de la DGSN et la Gendarmerie nationale.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Le chef communal de cette future police sera habilité à collaborer directement avec Monsieur le Procureur de la République, pour les procédures Express ou graves.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Un représentant de la PE Sera présent en permanence dans les PC de contrôle et de vidéosurveillance afin de relever les atteintes, agressions et délais.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La PE sera dotée d'une brigade de cyber surveillance afin de répertoriée, étudier et synthétiser et vérifier, les alertes lancées par les internautes.</w:t>
      </w:r>
      <w:bookmarkStart w:id="0" w:name="_GoBack"/>
      <w:bookmarkEnd w:id="0"/>
    </w:p>
    <w:p>
      <w:pPr>
        <w:pStyle w:val="Normal"/>
        <w:rPr>
          <w:i/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</w:r>
    </w:p>
    <w:p>
      <w:pPr>
        <w:pStyle w:val="Normal"/>
        <w:rPr>
          <w:i/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</w:r>
    </w:p>
    <w:p>
      <w:pPr>
        <w:pStyle w:val="Normal"/>
        <w:rPr>
          <w:i/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</w:r>
    </w:p>
    <w:p>
      <w:pPr>
        <w:pStyle w:val="Normal"/>
        <w:rPr>
          <w:i/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</w:r>
    </w:p>
    <w:p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i/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center"/>
        <w:rPr>
          <w:color w:val="70AD47" w:themeColor="accent6"/>
          <w:sz w:val="48"/>
          <w:szCs w:val="48"/>
        </w:rPr>
      </w:pPr>
      <w:r>
        <w:rPr>
          <w:color w:val="70AD47" w:themeColor="accent6"/>
          <w:sz w:val="48"/>
          <w:szCs w:val="4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ab3cd4"/>
    <w:rPr>
      <w:color w:val="0563C1" w:themeColor="hyperlink"/>
      <w:u w:val="single"/>
    </w:rPr>
  </w:style>
  <w:style w:type="character" w:styleId="ListLabel1">
    <w:name w:val="ListLabel 1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32f4"/>
    <w:pPr>
      <w:spacing w:before="0" w:after="0"/>
      <w:ind w:left="720" w:hanging="0"/>
      <w:contextualSpacing/>
    </w:pPr>
    <w:rPr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LibreOffice/6.0.6.2$Windows_X86_64 LibreOffice_project/0c292870b25a325b5ed35f6b45599d2ea4458e77</Application>
  <Pages>7</Pages>
  <Words>1999</Words>
  <Characters>11865</Characters>
  <CharactersWithSpaces>13686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2018-12-04T17:58:00Z</dcterms:created>
  <dc:creator>Utilisateur de Microsoft Office</dc:creator>
  <dc:description/>
  <dc:language>fr-FR</dc:language>
  <cp:lastModifiedBy/>
  <dcterms:modified xsi:type="dcterms:W3CDTF">2018-12-05T19:29:32Z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